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2C91" w14:textId="77777777" w:rsidR="00F77A7F" w:rsidRPr="00D46EDD" w:rsidRDefault="00F77A7F" w:rsidP="00D46EDD">
      <w:pPr>
        <w:widowControl/>
        <w:spacing w:beforeLines="50" w:before="156" w:after="0" w:line="500" w:lineRule="exact"/>
        <w:jc w:val="center"/>
        <w:rPr>
          <w:rFonts w:ascii="方正小标宋简体" w:eastAsia="方正小标宋简体" w:hAnsi="宋体" w:cs="宋体"/>
          <w:sz w:val="36"/>
          <w:szCs w:val="36"/>
        </w:rPr>
      </w:pPr>
      <w:r w:rsidRPr="00D46EDD">
        <w:rPr>
          <w:rFonts w:ascii="方正小标宋简体" w:eastAsia="方正小标宋简体" w:hAnsi="宋体" w:cs="宋体" w:hint="eastAsia"/>
          <w:sz w:val="36"/>
          <w:szCs w:val="36"/>
        </w:rPr>
        <w:t>东北大学强基计划（自动化专业）学生</w:t>
      </w:r>
    </w:p>
    <w:p w14:paraId="1C9F9550" w14:textId="77777777" w:rsidR="00F77A7F" w:rsidRPr="00D46EDD" w:rsidRDefault="00F77A7F" w:rsidP="00D46EDD">
      <w:pPr>
        <w:widowControl/>
        <w:spacing w:after="0" w:line="500" w:lineRule="exact"/>
        <w:jc w:val="center"/>
        <w:rPr>
          <w:rFonts w:ascii="方正小标宋简体" w:eastAsia="方正小标宋简体" w:hAnsi="宋体" w:cs="宋体"/>
          <w:sz w:val="36"/>
          <w:szCs w:val="36"/>
        </w:rPr>
      </w:pPr>
      <w:r w:rsidRPr="00D46EDD">
        <w:rPr>
          <w:rFonts w:ascii="方正小标宋简体" w:eastAsia="方正小标宋简体" w:hAnsi="宋体" w:cs="宋体" w:hint="eastAsia"/>
          <w:sz w:val="36"/>
          <w:szCs w:val="36"/>
        </w:rPr>
        <w:t>本研转段工作方案</w:t>
      </w:r>
    </w:p>
    <w:p w14:paraId="312FE159" w14:textId="5FF484FB" w:rsidR="00F77A7F" w:rsidRPr="008F14C6" w:rsidRDefault="00F77A7F" w:rsidP="008F14C6">
      <w:pPr>
        <w:widowControl/>
        <w:spacing w:beforeLines="100" w:before="312"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sz w:val="28"/>
          <w:szCs w:val="28"/>
        </w:rPr>
        <w:t>为加强</w:t>
      </w:r>
      <w:r w:rsidRPr="008F14C6">
        <w:rPr>
          <w:rFonts w:ascii="仿宋" w:eastAsia="仿宋" w:hAnsi="仿宋" w:cs="宋体" w:hint="eastAsia"/>
          <w:color w:val="000000"/>
          <w:kern w:val="0"/>
          <w:sz w:val="28"/>
          <w:szCs w:val="28"/>
        </w:rPr>
        <w:t>东北大学强基计划（自动化专业）学生</w:t>
      </w:r>
      <w:r w:rsidRPr="008F14C6">
        <w:rPr>
          <w:rFonts w:ascii="仿宋" w:eastAsia="仿宋" w:hAnsi="仿宋" w:cs="宋体" w:hint="eastAsia"/>
          <w:sz w:val="28"/>
          <w:szCs w:val="28"/>
        </w:rPr>
        <w:t>管理，落实强基计划本研一体化培养方案，</w:t>
      </w:r>
      <w:r w:rsidRPr="008F14C6">
        <w:rPr>
          <w:rFonts w:ascii="仿宋" w:eastAsia="仿宋" w:hAnsi="仿宋" w:cs="宋体" w:hint="eastAsia"/>
          <w:color w:val="000000"/>
          <w:kern w:val="0"/>
          <w:sz w:val="28"/>
          <w:szCs w:val="28"/>
        </w:rPr>
        <w:t>根据教育部相关文件要求，结合学校、学院人才培养工作实际情况，特制定本方案。</w:t>
      </w:r>
    </w:p>
    <w:p w14:paraId="14E4F185" w14:textId="77777777" w:rsidR="00F77A7F" w:rsidRPr="008F14C6" w:rsidRDefault="00F77A7F" w:rsidP="008F14C6">
      <w:pPr>
        <w:widowControl/>
        <w:spacing w:after="0" w:line="360" w:lineRule="auto"/>
        <w:ind w:firstLineChars="181" w:firstLine="507"/>
        <w:rPr>
          <w:rFonts w:ascii="黑体" w:eastAsia="黑体" w:hAnsi="黑体" w:cs="宋体"/>
          <w:color w:val="000000"/>
          <w:kern w:val="0"/>
          <w:sz w:val="28"/>
          <w:szCs w:val="28"/>
        </w:rPr>
      </w:pPr>
      <w:r w:rsidRPr="008F14C6">
        <w:rPr>
          <w:rFonts w:ascii="黑体" w:eastAsia="黑体" w:hAnsi="黑体" w:cs="宋体" w:hint="eastAsia"/>
          <w:color w:val="000000"/>
          <w:kern w:val="0"/>
          <w:sz w:val="28"/>
          <w:szCs w:val="28"/>
        </w:rPr>
        <w:t>一、工作机制</w:t>
      </w:r>
    </w:p>
    <w:p w14:paraId="2E123B28" w14:textId="77777777" w:rsidR="00F77A7F" w:rsidRPr="008F14C6" w:rsidRDefault="00F77A7F" w:rsidP="008F14C6">
      <w:pPr>
        <w:widowControl/>
        <w:spacing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1.坚持公开、公正、公平的原则和德智体美劳全面衡量的原则；</w:t>
      </w:r>
    </w:p>
    <w:p w14:paraId="0C743E15" w14:textId="77777777" w:rsidR="00F77A7F" w:rsidRPr="008F14C6" w:rsidRDefault="00F77A7F" w:rsidP="008F14C6">
      <w:pPr>
        <w:widowControl/>
        <w:spacing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2.成立强基计划（自动化专业）学生本研转段考核工作小组，制定转段工作方案，组织开展转段工作；</w:t>
      </w:r>
    </w:p>
    <w:p w14:paraId="627E6938" w14:textId="77777777" w:rsidR="00F77A7F" w:rsidRPr="008F14C6" w:rsidRDefault="00F77A7F" w:rsidP="008F14C6">
      <w:pPr>
        <w:widowControl/>
        <w:spacing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3.本研转段工作实施回避制度，转段工作涉及人员如有直系亲属或利益相关人员报名申请转段的要主动申请回避；</w:t>
      </w:r>
    </w:p>
    <w:p w14:paraId="26976F06" w14:textId="77777777" w:rsidR="00F77A7F" w:rsidRPr="008F14C6" w:rsidRDefault="00F77A7F" w:rsidP="008F14C6">
      <w:pPr>
        <w:widowControl/>
        <w:spacing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4.本研转段工作接受学校、学院纪检监察部门监督。</w:t>
      </w:r>
    </w:p>
    <w:p w14:paraId="1A8AFF51" w14:textId="77777777" w:rsidR="00F77A7F" w:rsidRPr="008F14C6" w:rsidRDefault="00F77A7F" w:rsidP="008F14C6">
      <w:pPr>
        <w:widowControl/>
        <w:spacing w:after="0" w:line="360" w:lineRule="auto"/>
        <w:ind w:firstLineChars="181" w:firstLine="507"/>
        <w:rPr>
          <w:rFonts w:ascii="黑体" w:eastAsia="黑体" w:hAnsi="黑体" w:cs="宋体"/>
          <w:color w:val="000000"/>
          <w:kern w:val="0"/>
          <w:sz w:val="28"/>
          <w:szCs w:val="28"/>
        </w:rPr>
      </w:pPr>
      <w:r w:rsidRPr="008F14C6">
        <w:rPr>
          <w:rFonts w:ascii="黑体" w:eastAsia="黑体" w:hAnsi="黑体" w:cs="宋体" w:hint="eastAsia"/>
          <w:color w:val="000000"/>
          <w:kern w:val="0"/>
          <w:sz w:val="28"/>
          <w:szCs w:val="28"/>
        </w:rPr>
        <w:t>二、申请条件</w:t>
      </w:r>
    </w:p>
    <w:p w14:paraId="61717A80" w14:textId="77777777" w:rsidR="00F77A7F" w:rsidRPr="008F14C6" w:rsidRDefault="00F77A7F" w:rsidP="008F14C6">
      <w:pPr>
        <w:widowControl/>
        <w:spacing w:after="0" w:line="360" w:lineRule="auto"/>
        <w:ind w:firstLineChars="181" w:firstLine="507"/>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思想表现良好，学术研究兴趣浓厚，学业成绩优秀且两次动态考核合格的学生可申请参加本研转段综合考核暨推荐优秀应届本科毕业生免试攻读研究生综合考核。</w:t>
      </w:r>
    </w:p>
    <w:p w14:paraId="5975638E" w14:textId="77777777" w:rsidR="00F77A7F" w:rsidRPr="008F14C6" w:rsidRDefault="00F77A7F" w:rsidP="008F14C6">
      <w:pPr>
        <w:widowControl/>
        <w:spacing w:after="0" w:line="360" w:lineRule="auto"/>
        <w:ind w:firstLineChars="181" w:firstLine="507"/>
        <w:rPr>
          <w:rFonts w:ascii="黑体" w:eastAsia="黑体" w:hAnsi="黑体" w:cs="宋体"/>
          <w:color w:val="000000"/>
          <w:kern w:val="0"/>
          <w:sz w:val="28"/>
          <w:szCs w:val="28"/>
        </w:rPr>
      </w:pPr>
      <w:r w:rsidRPr="008F14C6">
        <w:rPr>
          <w:rFonts w:ascii="黑体" w:eastAsia="黑体" w:hAnsi="黑体" w:cs="宋体" w:hint="eastAsia"/>
          <w:color w:val="000000"/>
          <w:kern w:val="0"/>
          <w:sz w:val="28"/>
          <w:szCs w:val="28"/>
        </w:rPr>
        <w:t>三、工作流程</w:t>
      </w:r>
    </w:p>
    <w:p w14:paraId="07791D60"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1.发布强基计划（自动化专业）学生本研转段工作方案；</w:t>
      </w:r>
    </w:p>
    <w:p w14:paraId="4C6896BC"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2.组织三年级动态考核，依据相关工作细则完成学生退出的组织工作；</w:t>
      </w:r>
    </w:p>
    <w:p w14:paraId="636B803D"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3.组织本研转段综合考核报名和资格审核工作；</w:t>
      </w:r>
    </w:p>
    <w:p w14:paraId="2E238B1D"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4.符合条件的学生参加本研转段综合考核；</w:t>
      </w:r>
    </w:p>
    <w:p w14:paraId="249CA10B"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lastRenderedPageBreak/>
        <w:t>5.公布本研转段综合考核结果、确定拟录取名单；</w:t>
      </w:r>
    </w:p>
    <w:p w14:paraId="27DADDBE"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6.依据推荐优秀应届本科毕业生免试攻读研究生工作安排，组织拟录取学生完成信息上传、审核确认、正式录取等相关工作。</w:t>
      </w:r>
    </w:p>
    <w:p w14:paraId="12798516" w14:textId="77777777" w:rsidR="00F77A7F" w:rsidRPr="008F14C6" w:rsidRDefault="00F77A7F" w:rsidP="008F14C6">
      <w:pPr>
        <w:widowControl/>
        <w:spacing w:after="0" w:line="360" w:lineRule="auto"/>
        <w:ind w:firstLineChars="181" w:firstLine="507"/>
        <w:rPr>
          <w:rFonts w:ascii="黑体" w:eastAsia="黑体" w:hAnsi="黑体" w:cs="宋体"/>
          <w:color w:val="000000"/>
          <w:kern w:val="0"/>
          <w:sz w:val="28"/>
          <w:szCs w:val="28"/>
        </w:rPr>
      </w:pPr>
      <w:r w:rsidRPr="008F14C6">
        <w:rPr>
          <w:rFonts w:ascii="黑体" w:eastAsia="黑体" w:hAnsi="黑体" w:cs="宋体" w:hint="eastAsia"/>
          <w:color w:val="000000"/>
          <w:kern w:val="0"/>
          <w:sz w:val="28"/>
          <w:szCs w:val="28"/>
        </w:rPr>
        <w:t>四、其他问题</w:t>
      </w:r>
    </w:p>
    <w:p w14:paraId="5AF36645"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1.获得本研转段拟录取资格的学生，可申请学校为东北大学，可申请专业为控制科学与工程；</w:t>
      </w:r>
    </w:p>
    <w:p w14:paraId="46A757A2"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2.攻读硕士、直接攻读博士名额由学校、学院结合当年推荐优秀应届本科毕业生免试攻读研究生名额、研究生招生计划等确定，确定后第一时间向学生公布，学生可根据名额情况，结合本人实际和意愿申请攻读硕士或直接攻读博士。学生可同时填报两个志愿，优先录取第一志愿，第一志愿未录取的学生按第二志愿录取；</w:t>
      </w:r>
    </w:p>
    <w:p w14:paraId="1CD9B147"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3.学生在报名申请转段时应慎重考虑并诚实守信。学生获得拟录取资格的，学校、学院将不再提供包括办理成绩单等在内的出国留学文书证明以及本科毕业生就业推荐等相关服务；</w:t>
      </w:r>
    </w:p>
    <w:p w14:paraId="6672B8F2" w14:textId="77777777" w:rsidR="00F77A7F" w:rsidRPr="008F14C6" w:rsidRDefault="00F77A7F" w:rsidP="008F14C6">
      <w:pPr>
        <w:widowControl/>
        <w:spacing w:after="0" w:line="360" w:lineRule="auto"/>
        <w:ind w:firstLineChars="200" w:firstLine="560"/>
        <w:rPr>
          <w:rFonts w:ascii="仿宋" w:eastAsia="仿宋" w:hAnsi="仿宋" w:cs="宋体"/>
          <w:color w:val="000000"/>
          <w:kern w:val="0"/>
          <w:sz w:val="28"/>
          <w:szCs w:val="28"/>
        </w:rPr>
      </w:pPr>
      <w:r w:rsidRPr="008F14C6">
        <w:rPr>
          <w:rFonts w:ascii="仿宋" w:eastAsia="仿宋" w:hAnsi="仿宋" w:cs="宋体" w:hint="eastAsia"/>
          <w:color w:val="000000"/>
          <w:kern w:val="0"/>
          <w:sz w:val="28"/>
          <w:szCs w:val="28"/>
        </w:rPr>
        <w:t>4.获得本研转段录取资格的学生，如在完成本科阶段学业前出现与推荐优秀应届本科毕业生免试攻读研究生资格不符的情况，自动取消本研转段资格。</w:t>
      </w:r>
    </w:p>
    <w:p w14:paraId="5A2E190B" w14:textId="5AB61016" w:rsidR="00F77A7F" w:rsidRPr="008F14C6" w:rsidRDefault="00F77A7F" w:rsidP="008F14C6">
      <w:pPr>
        <w:widowControl/>
        <w:spacing w:after="0" w:line="360" w:lineRule="auto"/>
        <w:ind w:firstLineChars="200" w:firstLine="560"/>
        <w:rPr>
          <w:rFonts w:ascii="仿宋" w:eastAsia="仿宋" w:hAnsi="仿宋" w:cs="宋体"/>
          <w:color w:val="000000"/>
          <w:sz w:val="28"/>
          <w:szCs w:val="28"/>
        </w:rPr>
      </w:pPr>
      <w:r w:rsidRPr="008F14C6">
        <w:rPr>
          <w:rFonts w:ascii="仿宋" w:eastAsia="仿宋" w:hAnsi="仿宋" w:cs="宋体" w:hint="eastAsia"/>
          <w:color w:val="000000"/>
          <w:sz w:val="28"/>
          <w:szCs w:val="28"/>
        </w:rPr>
        <w:t>本工作方案从</w:t>
      </w:r>
      <w:r w:rsidRPr="008F14C6">
        <w:rPr>
          <w:rFonts w:ascii="仿宋" w:eastAsia="仿宋" w:hAnsi="仿宋" w:cs="宋体" w:hint="eastAsia"/>
          <w:sz w:val="28"/>
          <w:szCs w:val="28"/>
        </w:rPr>
        <w:t>2024级强基计划</w:t>
      </w:r>
      <w:r w:rsidRPr="008F14C6">
        <w:rPr>
          <w:rFonts w:ascii="仿宋" w:eastAsia="仿宋" w:hAnsi="仿宋" w:cs="宋体" w:hint="eastAsia"/>
          <w:color w:val="000000"/>
          <w:kern w:val="0"/>
          <w:sz w:val="28"/>
          <w:szCs w:val="28"/>
        </w:rPr>
        <w:t>（自动化专业）</w:t>
      </w:r>
      <w:r w:rsidRPr="008F14C6">
        <w:rPr>
          <w:rFonts w:ascii="仿宋" w:eastAsia="仿宋" w:hAnsi="仿宋" w:cs="宋体" w:hint="eastAsia"/>
          <w:sz w:val="28"/>
          <w:szCs w:val="28"/>
        </w:rPr>
        <w:t>学生开始实施。</w:t>
      </w:r>
      <w:r w:rsidRPr="008F14C6">
        <w:rPr>
          <w:rFonts w:ascii="仿宋" w:eastAsia="仿宋" w:hAnsi="仿宋" w:cs="宋体" w:hint="eastAsia"/>
          <w:color w:val="000000"/>
          <w:sz w:val="28"/>
          <w:szCs w:val="28"/>
        </w:rPr>
        <w:t>本工作方案将随国家有关政策的调整而修订，未尽事宜按学校有关规定处理。</w:t>
      </w:r>
    </w:p>
    <w:p w14:paraId="15940605" w14:textId="77777777" w:rsidR="00F77A7F" w:rsidRPr="008F14C6" w:rsidRDefault="00F77A7F" w:rsidP="008F14C6">
      <w:pPr>
        <w:widowControl/>
        <w:spacing w:after="0"/>
        <w:jc w:val="left"/>
        <w:rPr>
          <w:rFonts w:ascii="仿宋_GB2312" w:eastAsia="仿宋_GB2312" w:hAnsi="宋体" w:cs="宋体"/>
          <w:color w:val="000000"/>
          <w:sz w:val="28"/>
          <w:szCs w:val="28"/>
        </w:rPr>
      </w:pPr>
      <w:r w:rsidRPr="008F14C6">
        <w:rPr>
          <w:rFonts w:ascii="仿宋_GB2312" w:eastAsia="仿宋_GB2312" w:hAnsi="宋体" w:cs="宋体"/>
          <w:color w:val="000000"/>
          <w:sz w:val="28"/>
          <w:szCs w:val="28"/>
        </w:rPr>
        <w:br w:type="page"/>
      </w:r>
    </w:p>
    <w:p w14:paraId="21D32A7F" w14:textId="77777777" w:rsidR="00F77A7F" w:rsidRPr="008F14C6" w:rsidRDefault="00F77A7F" w:rsidP="008F14C6">
      <w:pPr>
        <w:widowControl/>
        <w:spacing w:after="0" w:line="500" w:lineRule="exact"/>
        <w:jc w:val="center"/>
        <w:rPr>
          <w:rFonts w:ascii="方正小标宋简体" w:eastAsia="方正小标宋简体" w:hAnsi="宋体" w:cs="宋体"/>
          <w:sz w:val="36"/>
          <w:szCs w:val="36"/>
        </w:rPr>
      </w:pPr>
      <w:r w:rsidRPr="008F14C6">
        <w:rPr>
          <w:rFonts w:ascii="方正小标宋简体" w:eastAsia="方正小标宋简体" w:hAnsi="宋体" w:cs="宋体" w:hint="eastAsia"/>
          <w:sz w:val="36"/>
          <w:szCs w:val="36"/>
        </w:rPr>
        <w:lastRenderedPageBreak/>
        <w:t>东北大学强基计划（自动化专业）学生</w:t>
      </w:r>
    </w:p>
    <w:p w14:paraId="76378897" w14:textId="77777777" w:rsidR="00F77A7F" w:rsidRPr="008F14C6" w:rsidRDefault="00F77A7F" w:rsidP="008F14C6">
      <w:pPr>
        <w:widowControl/>
        <w:spacing w:afterLines="100" w:after="312" w:line="500" w:lineRule="exact"/>
        <w:jc w:val="center"/>
        <w:rPr>
          <w:rFonts w:ascii="方正小标宋简体" w:eastAsia="方正小标宋简体" w:hAnsi="宋体" w:cs="宋体"/>
          <w:sz w:val="36"/>
          <w:szCs w:val="36"/>
        </w:rPr>
      </w:pPr>
      <w:r w:rsidRPr="008F14C6">
        <w:rPr>
          <w:rFonts w:ascii="方正小标宋简体" w:eastAsia="方正小标宋简体" w:hAnsi="宋体" w:cs="宋体" w:hint="eastAsia"/>
          <w:sz w:val="36"/>
          <w:szCs w:val="36"/>
        </w:rPr>
        <w:t>本研转段专业目录</w:t>
      </w:r>
    </w:p>
    <w:tbl>
      <w:tblPr>
        <w:tblStyle w:val="af2"/>
        <w:tblW w:w="0" w:type="auto"/>
        <w:tblLook w:val="04A0" w:firstRow="1" w:lastRow="0" w:firstColumn="1" w:lastColumn="0" w:noHBand="0" w:noVBand="1"/>
      </w:tblPr>
      <w:tblGrid>
        <w:gridCol w:w="1922"/>
        <w:gridCol w:w="1707"/>
        <w:gridCol w:w="2441"/>
        <w:gridCol w:w="2226"/>
      </w:tblGrid>
      <w:tr w:rsidR="00F77A7F" w14:paraId="363713CD" w14:textId="77777777" w:rsidTr="00F77A7F">
        <w:trPr>
          <w:trHeight w:val="1333"/>
        </w:trPr>
        <w:tc>
          <w:tcPr>
            <w:tcW w:w="0" w:type="auto"/>
            <w:vAlign w:val="center"/>
          </w:tcPr>
          <w:p w14:paraId="353381BF" w14:textId="480F2AFD" w:rsidR="00F77A7F" w:rsidRPr="008F14C6" w:rsidRDefault="00F77A7F" w:rsidP="00F77A7F">
            <w:pPr>
              <w:widowControl/>
              <w:spacing w:line="360" w:lineRule="exact"/>
              <w:jc w:val="center"/>
              <w:rPr>
                <w:rFonts w:ascii="仿宋" w:eastAsia="仿宋" w:hAnsi="仿宋" w:cs="宋体"/>
                <w:b/>
                <w:bCs/>
                <w:sz w:val="28"/>
                <w:szCs w:val="28"/>
              </w:rPr>
            </w:pPr>
            <w:r w:rsidRPr="008F14C6">
              <w:rPr>
                <w:rFonts w:ascii="仿宋" w:eastAsia="仿宋" w:hAnsi="仿宋" w:hint="eastAsia"/>
                <w:b/>
                <w:bCs/>
                <w:color w:val="000000"/>
                <w:sz w:val="28"/>
                <w:szCs w:val="28"/>
              </w:rPr>
              <w:t>本科招生专业代码</w:t>
            </w:r>
          </w:p>
        </w:tc>
        <w:tc>
          <w:tcPr>
            <w:tcW w:w="0" w:type="auto"/>
            <w:vAlign w:val="center"/>
          </w:tcPr>
          <w:p w14:paraId="140547D8" w14:textId="08F109E0" w:rsidR="00F77A7F" w:rsidRPr="008F14C6" w:rsidRDefault="00F77A7F" w:rsidP="00F77A7F">
            <w:pPr>
              <w:widowControl/>
              <w:spacing w:line="360" w:lineRule="exact"/>
              <w:jc w:val="center"/>
              <w:rPr>
                <w:rFonts w:ascii="仿宋" w:eastAsia="仿宋" w:hAnsi="仿宋" w:cs="宋体"/>
                <w:b/>
                <w:bCs/>
                <w:sz w:val="28"/>
                <w:szCs w:val="28"/>
              </w:rPr>
            </w:pPr>
            <w:r w:rsidRPr="008F14C6">
              <w:rPr>
                <w:rFonts w:ascii="仿宋" w:eastAsia="仿宋" w:hAnsi="仿宋" w:hint="eastAsia"/>
                <w:b/>
                <w:bCs/>
                <w:color w:val="000000"/>
                <w:sz w:val="28"/>
                <w:szCs w:val="28"/>
              </w:rPr>
              <w:t>本科招生专业名称</w:t>
            </w:r>
          </w:p>
        </w:tc>
        <w:tc>
          <w:tcPr>
            <w:tcW w:w="0" w:type="auto"/>
            <w:vAlign w:val="center"/>
          </w:tcPr>
          <w:p w14:paraId="29A1D993" w14:textId="22148150" w:rsidR="00F77A7F" w:rsidRPr="008F14C6" w:rsidRDefault="00F77A7F" w:rsidP="00F77A7F">
            <w:pPr>
              <w:widowControl/>
              <w:spacing w:line="360" w:lineRule="exact"/>
              <w:jc w:val="center"/>
              <w:rPr>
                <w:rFonts w:ascii="仿宋" w:eastAsia="仿宋" w:hAnsi="仿宋" w:cs="宋体"/>
                <w:b/>
                <w:bCs/>
                <w:sz w:val="28"/>
                <w:szCs w:val="28"/>
              </w:rPr>
            </w:pPr>
            <w:r w:rsidRPr="008F14C6">
              <w:rPr>
                <w:rFonts w:ascii="仿宋" w:eastAsia="仿宋" w:hAnsi="仿宋" w:hint="eastAsia"/>
                <w:b/>
                <w:bCs/>
                <w:color w:val="000000"/>
                <w:sz w:val="28"/>
                <w:szCs w:val="28"/>
              </w:rPr>
              <w:t>转入研究生阶段专业代码</w:t>
            </w:r>
          </w:p>
        </w:tc>
        <w:tc>
          <w:tcPr>
            <w:tcW w:w="0" w:type="auto"/>
            <w:vAlign w:val="center"/>
          </w:tcPr>
          <w:p w14:paraId="4124A768" w14:textId="07B1909D" w:rsidR="00F77A7F" w:rsidRPr="008F14C6" w:rsidRDefault="00F77A7F" w:rsidP="00F77A7F">
            <w:pPr>
              <w:widowControl/>
              <w:spacing w:line="360" w:lineRule="exact"/>
              <w:jc w:val="center"/>
              <w:rPr>
                <w:rFonts w:ascii="仿宋" w:eastAsia="仿宋" w:hAnsi="仿宋" w:cs="宋体"/>
                <w:b/>
                <w:bCs/>
                <w:sz w:val="28"/>
                <w:szCs w:val="28"/>
              </w:rPr>
            </w:pPr>
            <w:r w:rsidRPr="008F14C6">
              <w:rPr>
                <w:rFonts w:ascii="仿宋" w:eastAsia="仿宋" w:hAnsi="仿宋" w:hint="eastAsia"/>
                <w:b/>
                <w:bCs/>
                <w:color w:val="000000"/>
                <w:sz w:val="28"/>
                <w:szCs w:val="28"/>
              </w:rPr>
              <w:t>转入研究生阶段专业名称</w:t>
            </w:r>
          </w:p>
        </w:tc>
      </w:tr>
      <w:tr w:rsidR="00F77A7F" w14:paraId="1D316980" w14:textId="77777777" w:rsidTr="00F77A7F">
        <w:trPr>
          <w:trHeight w:val="1333"/>
        </w:trPr>
        <w:tc>
          <w:tcPr>
            <w:tcW w:w="0" w:type="auto"/>
            <w:vAlign w:val="center"/>
          </w:tcPr>
          <w:p w14:paraId="79FF8333" w14:textId="697052D3" w:rsidR="00F77A7F" w:rsidRPr="008F14C6" w:rsidRDefault="00F77A7F" w:rsidP="00F77A7F">
            <w:pPr>
              <w:widowControl/>
              <w:spacing w:line="600" w:lineRule="exact"/>
              <w:jc w:val="center"/>
              <w:rPr>
                <w:rFonts w:ascii="仿宋" w:eastAsia="仿宋" w:hAnsi="仿宋" w:cs="宋体"/>
                <w:sz w:val="28"/>
                <w:szCs w:val="28"/>
              </w:rPr>
            </w:pPr>
            <w:r w:rsidRPr="008F14C6">
              <w:rPr>
                <w:rFonts w:ascii="仿宋" w:eastAsia="仿宋" w:hAnsi="仿宋" w:hint="eastAsia"/>
                <w:color w:val="000000"/>
                <w:sz w:val="28"/>
                <w:szCs w:val="28"/>
              </w:rPr>
              <w:t>080801</w:t>
            </w:r>
          </w:p>
        </w:tc>
        <w:tc>
          <w:tcPr>
            <w:tcW w:w="0" w:type="auto"/>
            <w:vAlign w:val="center"/>
          </w:tcPr>
          <w:p w14:paraId="5A5932A9" w14:textId="152663FD" w:rsidR="00F77A7F" w:rsidRPr="008F14C6" w:rsidRDefault="00F77A7F" w:rsidP="00F77A7F">
            <w:pPr>
              <w:widowControl/>
              <w:spacing w:line="600" w:lineRule="exact"/>
              <w:jc w:val="center"/>
              <w:rPr>
                <w:rFonts w:ascii="仿宋" w:eastAsia="仿宋" w:hAnsi="仿宋" w:cs="宋体"/>
                <w:sz w:val="28"/>
                <w:szCs w:val="28"/>
              </w:rPr>
            </w:pPr>
            <w:r w:rsidRPr="008F14C6">
              <w:rPr>
                <w:rFonts w:ascii="仿宋" w:eastAsia="仿宋" w:hAnsi="仿宋" w:hint="eastAsia"/>
                <w:color w:val="000000"/>
                <w:sz w:val="28"/>
                <w:szCs w:val="28"/>
              </w:rPr>
              <w:t>自动化</w:t>
            </w:r>
          </w:p>
        </w:tc>
        <w:tc>
          <w:tcPr>
            <w:tcW w:w="0" w:type="auto"/>
            <w:vAlign w:val="center"/>
          </w:tcPr>
          <w:p w14:paraId="2AF97668" w14:textId="3C366528" w:rsidR="00F77A7F" w:rsidRPr="008F14C6" w:rsidRDefault="00F77A7F" w:rsidP="00F77A7F">
            <w:pPr>
              <w:widowControl/>
              <w:spacing w:line="600" w:lineRule="exact"/>
              <w:jc w:val="center"/>
              <w:rPr>
                <w:rFonts w:ascii="仿宋" w:eastAsia="仿宋" w:hAnsi="仿宋" w:cs="宋体"/>
                <w:sz w:val="28"/>
                <w:szCs w:val="28"/>
              </w:rPr>
            </w:pPr>
            <w:r w:rsidRPr="008F14C6">
              <w:rPr>
                <w:rFonts w:ascii="仿宋" w:eastAsia="仿宋" w:hAnsi="仿宋" w:hint="eastAsia"/>
                <w:color w:val="000000"/>
                <w:sz w:val="28"/>
                <w:szCs w:val="28"/>
              </w:rPr>
              <w:t>0</w:t>
            </w:r>
            <w:r w:rsidRPr="008F14C6">
              <w:rPr>
                <w:rFonts w:ascii="仿宋" w:eastAsia="仿宋" w:hAnsi="仿宋"/>
                <w:color w:val="000000"/>
                <w:sz w:val="28"/>
                <w:szCs w:val="28"/>
              </w:rPr>
              <w:t>81100</w:t>
            </w:r>
          </w:p>
        </w:tc>
        <w:tc>
          <w:tcPr>
            <w:tcW w:w="0" w:type="auto"/>
            <w:vAlign w:val="center"/>
          </w:tcPr>
          <w:p w14:paraId="3F4034AB" w14:textId="0DD383E7" w:rsidR="00F77A7F" w:rsidRPr="008F14C6" w:rsidRDefault="00F77A7F" w:rsidP="00F77A7F">
            <w:pPr>
              <w:widowControl/>
              <w:spacing w:line="600" w:lineRule="exact"/>
              <w:jc w:val="center"/>
              <w:rPr>
                <w:rFonts w:ascii="仿宋" w:eastAsia="仿宋" w:hAnsi="仿宋" w:cs="宋体"/>
                <w:sz w:val="28"/>
                <w:szCs w:val="28"/>
              </w:rPr>
            </w:pPr>
            <w:r w:rsidRPr="008F14C6">
              <w:rPr>
                <w:rFonts w:ascii="仿宋" w:eastAsia="仿宋" w:hAnsi="仿宋" w:hint="eastAsia"/>
                <w:color w:val="000000"/>
                <w:sz w:val="28"/>
                <w:szCs w:val="28"/>
              </w:rPr>
              <w:t>控制科学与工程</w:t>
            </w:r>
          </w:p>
        </w:tc>
      </w:tr>
    </w:tbl>
    <w:p w14:paraId="3F632CAF" w14:textId="77777777" w:rsidR="00F77A7F" w:rsidRPr="004231CD" w:rsidRDefault="00F77A7F" w:rsidP="00F77A7F">
      <w:pPr>
        <w:widowControl/>
        <w:spacing w:line="360" w:lineRule="auto"/>
        <w:rPr>
          <w:rFonts w:ascii="仿宋_GB2312" w:eastAsia="仿宋_GB2312" w:hAnsi="宋体" w:cs="Times New Roman"/>
          <w:b/>
          <w:bCs/>
          <w:sz w:val="30"/>
          <w:szCs w:val="30"/>
          <w:u w:val="single"/>
        </w:rPr>
      </w:pPr>
    </w:p>
    <w:sectPr w:rsidR="00F77A7F" w:rsidRPr="004231CD">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5D14" w14:textId="77777777" w:rsidR="00AC70D6" w:rsidRDefault="00AC70D6">
      <w:pPr>
        <w:spacing w:after="0" w:line="240" w:lineRule="auto"/>
      </w:pPr>
      <w:r>
        <w:separator/>
      </w:r>
    </w:p>
  </w:endnote>
  <w:endnote w:type="continuationSeparator" w:id="0">
    <w:p w14:paraId="10FCE627" w14:textId="77777777" w:rsidR="00AC70D6" w:rsidRDefault="00AC7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1E7BB" w14:textId="77777777" w:rsidR="00AC70D6" w:rsidRDefault="00AC70D6">
      <w:pPr>
        <w:spacing w:after="0" w:line="240" w:lineRule="auto"/>
      </w:pPr>
      <w:r>
        <w:separator/>
      </w:r>
    </w:p>
  </w:footnote>
  <w:footnote w:type="continuationSeparator" w:id="0">
    <w:p w14:paraId="63010B0E" w14:textId="77777777" w:rsidR="00AC70D6" w:rsidRDefault="00AC7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638ED" w14:textId="77777777" w:rsidR="00695CB9" w:rsidRDefault="00695CB9">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C8"/>
    <w:rsid w:val="000003C9"/>
    <w:rsid w:val="000007CC"/>
    <w:rsid w:val="00001648"/>
    <w:rsid w:val="00007FF0"/>
    <w:rsid w:val="00010F2E"/>
    <w:rsid w:val="00011EB5"/>
    <w:rsid w:val="00013A5E"/>
    <w:rsid w:val="00015367"/>
    <w:rsid w:val="000155A8"/>
    <w:rsid w:val="0002094A"/>
    <w:rsid w:val="00026761"/>
    <w:rsid w:val="00026829"/>
    <w:rsid w:val="00030095"/>
    <w:rsid w:val="0003695B"/>
    <w:rsid w:val="000432EB"/>
    <w:rsid w:val="00045015"/>
    <w:rsid w:val="000659A9"/>
    <w:rsid w:val="00067EAF"/>
    <w:rsid w:val="000763BD"/>
    <w:rsid w:val="0007767A"/>
    <w:rsid w:val="0008221C"/>
    <w:rsid w:val="000C507C"/>
    <w:rsid w:val="000C65D1"/>
    <w:rsid w:val="000D108C"/>
    <w:rsid w:val="000D315E"/>
    <w:rsid w:val="000D4062"/>
    <w:rsid w:val="000D7859"/>
    <w:rsid w:val="000E2510"/>
    <w:rsid w:val="00120B6F"/>
    <w:rsid w:val="00126A34"/>
    <w:rsid w:val="00131822"/>
    <w:rsid w:val="00135382"/>
    <w:rsid w:val="00144422"/>
    <w:rsid w:val="00147E25"/>
    <w:rsid w:val="001538EA"/>
    <w:rsid w:val="00165DAF"/>
    <w:rsid w:val="001661D0"/>
    <w:rsid w:val="00172232"/>
    <w:rsid w:val="00184D56"/>
    <w:rsid w:val="00187EAB"/>
    <w:rsid w:val="001A35FB"/>
    <w:rsid w:val="001B09E6"/>
    <w:rsid w:val="001B35A6"/>
    <w:rsid w:val="001B472D"/>
    <w:rsid w:val="001C60FD"/>
    <w:rsid w:val="001E1C96"/>
    <w:rsid w:val="001E5246"/>
    <w:rsid w:val="001E630C"/>
    <w:rsid w:val="001E7C97"/>
    <w:rsid w:val="00204F0A"/>
    <w:rsid w:val="002131CC"/>
    <w:rsid w:val="00213ED5"/>
    <w:rsid w:val="00225AC0"/>
    <w:rsid w:val="00231DF6"/>
    <w:rsid w:val="00244200"/>
    <w:rsid w:val="0024674F"/>
    <w:rsid w:val="00260124"/>
    <w:rsid w:val="00266AEB"/>
    <w:rsid w:val="0026712C"/>
    <w:rsid w:val="0028245C"/>
    <w:rsid w:val="0028684D"/>
    <w:rsid w:val="002A0F46"/>
    <w:rsid w:val="002A3F72"/>
    <w:rsid w:val="002A5C12"/>
    <w:rsid w:val="002B0090"/>
    <w:rsid w:val="002B67FF"/>
    <w:rsid w:val="002C2898"/>
    <w:rsid w:val="002E7E6F"/>
    <w:rsid w:val="00304E04"/>
    <w:rsid w:val="0030734A"/>
    <w:rsid w:val="003162A7"/>
    <w:rsid w:val="003179E5"/>
    <w:rsid w:val="00327B4F"/>
    <w:rsid w:val="00330BB3"/>
    <w:rsid w:val="003372DE"/>
    <w:rsid w:val="00343B01"/>
    <w:rsid w:val="003456E8"/>
    <w:rsid w:val="00345700"/>
    <w:rsid w:val="00350396"/>
    <w:rsid w:val="00354993"/>
    <w:rsid w:val="00361450"/>
    <w:rsid w:val="00363352"/>
    <w:rsid w:val="00380724"/>
    <w:rsid w:val="003A2FCC"/>
    <w:rsid w:val="003A4554"/>
    <w:rsid w:val="003C002A"/>
    <w:rsid w:val="003D4B62"/>
    <w:rsid w:val="003D7D4A"/>
    <w:rsid w:val="003E58DF"/>
    <w:rsid w:val="003E701C"/>
    <w:rsid w:val="003F109A"/>
    <w:rsid w:val="00402529"/>
    <w:rsid w:val="00402EFF"/>
    <w:rsid w:val="004136B9"/>
    <w:rsid w:val="0041550B"/>
    <w:rsid w:val="00421D35"/>
    <w:rsid w:val="00437A63"/>
    <w:rsid w:val="00440ADB"/>
    <w:rsid w:val="004442BE"/>
    <w:rsid w:val="00444D97"/>
    <w:rsid w:val="00447A31"/>
    <w:rsid w:val="0045100C"/>
    <w:rsid w:val="0045415E"/>
    <w:rsid w:val="004543EE"/>
    <w:rsid w:val="00467B91"/>
    <w:rsid w:val="0047384D"/>
    <w:rsid w:val="0047614E"/>
    <w:rsid w:val="0048229D"/>
    <w:rsid w:val="0048619D"/>
    <w:rsid w:val="00490B2D"/>
    <w:rsid w:val="00493BF8"/>
    <w:rsid w:val="00494866"/>
    <w:rsid w:val="00494B33"/>
    <w:rsid w:val="00495F29"/>
    <w:rsid w:val="004A129F"/>
    <w:rsid w:val="004A4A37"/>
    <w:rsid w:val="004A4E97"/>
    <w:rsid w:val="004A7DC3"/>
    <w:rsid w:val="004C79FB"/>
    <w:rsid w:val="004D4F54"/>
    <w:rsid w:val="004D73A0"/>
    <w:rsid w:val="004E17FF"/>
    <w:rsid w:val="004E4AC8"/>
    <w:rsid w:val="00500D32"/>
    <w:rsid w:val="00520376"/>
    <w:rsid w:val="00521715"/>
    <w:rsid w:val="0054378C"/>
    <w:rsid w:val="00546AE8"/>
    <w:rsid w:val="005543C1"/>
    <w:rsid w:val="00556D4E"/>
    <w:rsid w:val="00564936"/>
    <w:rsid w:val="005656C9"/>
    <w:rsid w:val="00565D0C"/>
    <w:rsid w:val="00567E69"/>
    <w:rsid w:val="005773A6"/>
    <w:rsid w:val="00580FD0"/>
    <w:rsid w:val="00583F36"/>
    <w:rsid w:val="00594F21"/>
    <w:rsid w:val="005A25DE"/>
    <w:rsid w:val="005A31C8"/>
    <w:rsid w:val="005A78A0"/>
    <w:rsid w:val="005A7DB7"/>
    <w:rsid w:val="005B421B"/>
    <w:rsid w:val="005C0A4E"/>
    <w:rsid w:val="005C35D2"/>
    <w:rsid w:val="005F5574"/>
    <w:rsid w:val="00613331"/>
    <w:rsid w:val="00617C52"/>
    <w:rsid w:val="00617CF8"/>
    <w:rsid w:val="00644524"/>
    <w:rsid w:val="006478B2"/>
    <w:rsid w:val="00652A20"/>
    <w:rsid w:val="00670306"/>
    <w:rsid w:val="0067216F"/>
    <w:rsid w:val="00686FA5"/>
    <w:rsid w:val="006925CE"/>
    <w:rsid w:val="00694BFA"/>
    <w:rsid w:val="00695CB9"/>
    <w:rsid w:val="00697615"/>
    <w:rsid w:val="006A5375"/>
    <w:rsid w:val="006B017B"/>
    <w:rsid w:val="006B067A"/>
    <w:rsid w:val="006B1EAB"/>
    <w:rsid w:val="006C0E55"/>
    <w:rsid w:val="006C3ED7"/>
    <w:rsid w:val="006D1477"/>
    <w:rsid w:val="006D3AEA"/>
    <w:rsid w:val="006E011D"/>
    <w:rsid w:val="00712AFA"/>
    <w:rsid w:val="00713FCB"/>
    <w:rsid w:val="00731BA8"/>
    <w:rsid w:val="00731EA9"/>
    <w:rsid w:val="00735DD4"/>
    <w:rsid w:val="007365D7"/>
    <w:rsid w:val="00741FAA"/>
    <w:rsid w:val="00752AD4"/>
    <w:rsid w:val="00757A63"/>
    <w:rsid w:val="00770B2C"/>
    <w:rsid w:val="007715B2"/>
    <w:rsid w:val="0078070D"/>
    <w:rsid w:val="0078347E"/>
    <w:rsid w:val="00784E7E"/>
    <w:rsid w:val="007B3BA1"/>
    <w:rsid w:val="007B42F7"/>
    <w:rsid w:val="007B46B5"/>
    <w:rsid w:val="007B70F6"/>
    <w:rsid w:val="007C1F84"/>
    <w:rsid w:val="007C2393"/>
    <w:rsid w:val="007D4A54"/>
    <w:rsid w:val="007D56DB"/>
    <w:rsid w:val="007E1ADA"/>
    <w:rsid w:val="007F7F4F"/>
    <w:rsid w:val="00816BD8"/>
    <w:rsid w:val="00824650"/>
    <w:rsid w:val="00825855"/>
    <w:rsid w:val="00827A6D"/>
    <w:rsid w:val="0083354F"/>
    <w:rsid w:val="008426BB"/>
    <w:rsid w:val="00853C52"/>
    <w:rsid w:val="00854CA2"/>
    <w:rsid w:val="00855DDF"/>
    <w:rsid w:val="00860DE9"/>
    <w:rsid w:val="008634E0"/>
    <w:rsid w:val="0088113B"/>
    <w:rsid w:val="0088299B"/>
    <w:rsid w:val="008836FA"/>
    <w:rsid w:val="0088613B"/>
    <w:rsid w:val="008A289B"/>
    <w:rsid w:val="008B69C3"/>
    <w:rsid w:val="008D1E52"/>
    <w:rsid w:val="008E66EA"/>
    <w:rsid w:val="008E69EF"/>
    <w:rsid w:val="008E74DA"/>
    <w:rsid w:val="008E788B"/>
    <w:rsid w:val="008F12E1"/>
    <w:rsid w:val="008F14C6"/>
    <w:rsid w:val="009010F2"/>
    <w:rsid w:val="009028D4"/>
    <w:rsid w:val="009150C5"/>
    <w:rsid w:val="00923E50"/>
    <w:rsid w:val="00926AB5"/>
    <w:rsid w:val="00932F88"/>
    <w:rsid w:val="009369FB"/>
    <w:rsid w:val="00973119"/>
    <w:rsid w:val="009770DD"/>
    <w:rsid w:val="00984ADE"/>
    <w:rsid w:val="009856C1"/>
    <w:rsid w:val="00985840"/>
    <w:rsid w:val="009903D4"/>
    <w:rsid w:val="009A16DB"/>
    <w:rsid w:val="009A6F0C"/>
    <w:rsid w:val="009A7C69"/>
    <w:rsid w:val="009B514B"/>
    <w:rsid w:val="009B6790"/>
    <w:rsid w:val="009C7B42"/>
    <w:rsid w:val="009E5AB2"/>
    <w:rsid w:val="009F1C4A"/>
    <w:rsid w:val="009F4B67"/>
    <w:rsid w:val="009F68B2"/>
    <w:rsid w:val="009F7612"/>
    <w:rsid w:val="00A06C51"/>
    <w:rsid w:val="00A21657"/>
    <w:rsid w:val="00A26872"/>
    <w:rsid w:val="00A27BFE"/>
    <w:rsid w:val="00A30F55"/>
    <w:rsid w:val="00A3345B"/>
    <w:rsid w:val="00A3783D"/>
    <w:rsid w:val="00A4247E"/>
    <w:rsid w:val="00A45BBD"/>
    <w:rsid w:val="00A63E6D"/>
    <w:rsid w:val="00A64D79"/>
    <w:rsid w:val="00A7108A"/>
    <w:rsid w:val="00A759B6"/>
    <w:rsid w:val="00A8045E"/>
    <w:rsid w:val="00A84D9A"/>
    <w:rsid w:val="00A92B77"/>
    <w:rsid w:val="00A97511"/>
    <w:rsid w:val="00AA0FF2"/>
    <w:rsid w:val="00AB3773"/>
    <w:rsid w:val="00AB633F"/>
    <w:rsid w:val="00AB6DA7"/>
    <w:rsid w:val="00AC2300"/>
    <w:rsid w:val="00AC70D6"/>
    <w:rsid w:val="00AC7BE4"/>
    <w:rsid w:val="00AD4485"/>
    <w:rsid w:val="00AE4C2C"/>
    <w:rsid w:val="00AF4CC3"/>
    <w:rsid w:val="00B00878"/>
    <w:rsid w:val="00B10910"/>
    <w:rsid w:val="00B20B06"/>
    <w:rsid w:val="00B22E63"/>
    <w:rsid w:val="00B34BA4"/>
    <w:rsid w:val="00B4059C"/>
    <w:rsid w:val="00B43AC1"/>
    <w:rsid w:val="00B471E4"/>
    <w:rsid w:val="00B5209B"/>
    <w:rsid w:val="00B57917"/>
    <w:rsid w:val="00B603BE"/>
    <w:rsid w:val="00B67514"/>
    <w:rsid w:val="00B72035"/>
    <w:rsid w:val="00B81DF9"/>
    <w:rsid w:val="00B87B75"/>
    <w:rsid w:val="00B93421"/>
    <w:rsid w:val="00B9708D"/>
    <w:rsid w:val="00BA63EB"/>
    <w:rsid w:val="00BB473F"/>
    <w:rsid w:val="00BD177A"/>
    <w:rsid w:val="00C2060D"/>
    <w:rsid w:val="00C212DC"/>
    <w:rsid w:val="00C23D8C"/>
    <w:rsid w:val="00C315CD"/>
    <w:rsid w:val="00C34DDE"/>
    <w:rsid w:val="00C36846"/>
    <w:rsid w:val="00C40565"/>
    <w:rsid w:val="00C505B2"/>
    <w:rsid w:val="00C665B5"/>
    <w:rsid w:val="00C94FB4"/>
    <w:rsid w:val="00C95B8E"/>
    <w:rsid w:val="00CA6C00"/>
    <w:rsid w:val="00CC7F0F"/>
    <w:rsid w:val="00CD6239"/>
    <w:rsid w:val="00CD777E"/>
    <w:rsid w:val="00CF30EA"/>
    <w:rsid w:val="00D038F0"/>
    <w:rsid w:val="00D04BE4"/>
    <w:rsid w:val="00D11611"/>
    <w:rsid w:val="00D16CAA"/>
    <w:rsid w:val="00D201E7"/>
    <w:rsid w:val="00D206F2"/>
    <w:rsid w:val="00D26DD4"/>
    <w:rsid w:val="00D46EDD"/>
    <w:rsid w:val="00D517D6"/>
    <w:rsid w:val="00D55E46"/>
    <w:rsid w:val="00D718DE"/>
    <w:rsid w:val="00D729EF"/>
    <w:rsid w:val="00D8485C"/>
    <w:rsid w:val="00D86C8D"/>
    <w:rsid w:val="00D90253"/>
    <w:rsid w:val="00D92A07"/>
    <w:rsid w:val="00D92AA4"/>
    <w:rsid w:val="00D97924"/>
    <w:rsid w:val="00DA2B12"/>
    <w:rsid w:val="00DA4D68"/>
    <w:rsid w:val="00DA51C9"/>
    <w:rsid w:val="00DB025E"/>
    <w:rsid w:val="00DC23E1"/>
    <w:rsid w:val="00DC28C1"/>
    <w:rsid w:val="00DC32D8"/>
    <w:rsid w:val="00DD50F2"/>
    <w:rsid w:val="00DE602C"/>
    <w:rsid w:val="00DF03A1"/>
    <w:rsid w:val="00DF15AB"/>
    <w:rsid w:val="00DF31C6"/>
    <w:rsid w:val="00E05B69"/>
    <w:rsid w:val="00E123AC"/>
    <w:rsid w:val="00E23746"/>
    <w:rsid w:val="00E24C86"/>
    <w:rsid w:val="00E27C6D"/>
    <w:rsid w:val="00E36657"/>
    <w:rsid w:val="00E47AD0"/>
    <w:rsid w:val="00E55B4B"/>
    <w:rsid w:val="00E6649C"/>
    <w:rsid w:val="00E836F6"/>
    <w:rsid w:val="00EA1701"/>
    <w:rsid w:val="00EA34DA"/>
    <w:rsid w:val="00EA6299"/>
    <w:rsid w:val="00EC368D"/>
    <w:rsid w:val="00ED2936"/>
    <w:rsid w:val="00F01BF6"/>
    <w:rsid w:val="00F07C76"/>
    <w:rsid w:val="00F34144"/>
    <w:rsid w:val="00F34292"/>
    <w:rsid w:val="00F53233"/>
    <w:rsid w:val="00F5750A"/>
    <w:rsid w:val="00F65187"/>
    <w:rsid w:val="00F658DF"/>
    <w:rsid w:val="00F7008E"/>
    <w:rsid w:val="00F77615"/>
    <w:rsid w:val="00F77A7F"/>
    <w:rsid w:val="00F87BB3"/>
    <w:rsid w:val="00FA0268"/>
    <w:rsid w:val="00FB0630"/>
    <w:rsid w:val="00FB6753"/>
    <w:rsid w:val="00FB6FEB"/>
    <w:rsid w:val="00FC733F"/>
    <w:rsid w:val="00FD57F5"/>
    <w:rsid w:val="00FE19F1"/>
    <w:rsid w:val="6DD8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4AC0E"/>
  <w15:docId w15:val="{864A5924-8A64-4B23-B577-6D054C134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A7F"/>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Hyperlink"/>
    <w:basedOn w:val="a0"/>
    <w:uiPriority w:val="99"/>
    <w:unhideWhenUsed/>
    <w:rPr>
      <w:color w:val="0563C1" w:themeColor="hyperlink"/>
      <w:u w:val="single"/>
    </w:rPr>
  </w:style>
  <w:style w:type="character" w:styleId="af0">
    <w:name w:val="annotation reference"/>
    <w:basedOn w:val="a0"/>
    <w:uiPriority w:val="99"/>
    <w:semiHidden/>
    <w:unhideWhenUsed/>
    <w:rPr>
      <w:sz w:val="21"/>
      <w:szCs w:val="21"/>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qFormat/>
    <w:rPr>
      <w:sz w:val="18"/>
      <w:szCs w:val="18"/>
    </w:rPr>
  </w:style>
  <w:style w:type="paragraph" w:customStyle="1" w:styleId="11">
    <w:name w:val="修订1"/>
    <w:hidden/>
    <w:uiPriority w:val="99"/>
    <w:semiHidden/>
    <w:rPr>
      <w:kern w:val="2"/>
      <w:sz w:val="21"/>
      <w:szCs w:val="22"/>
    </w:rPr>
  </w:style>
  <w:style w:type="character" w:customStyle="1" w:styleId="a4">
    <w:name w:val="批注文字 字符"/>
    <w:basedOn w:val="a0"/>
    <w:link w:val="a3"/>
    <w:uiPriority w:val="99"/>
    <w:semiHidden/>
  </w:style>
  <w:style w:type="character" w:customStyle="1" w:styleId="ad">
    <w:name w:val="批注主题 字符"/>
    <w:basedOn w:val="a4"/>
    <w:link w:val="ac"/>
    <w:uiPriority w:val="99"/>
    <w:semiHidden/>
    <w:qFormat/>
    <w:rPr>
      <w:b/>
      <w:bCs/>
    </w:rPr>
  </w:style>
  <w:style w:type="character" w:customStyle="1" w:styleId="12">
    <w:name w:val="未处理的提及1"/>
    <w:basedOn w:val="a0"/>
    <w:uiPriority w:val="99"/>
    <w:semiHidden/>
    <w:unhideWhenUsed/>
    <w:qFormat/>
    <w:rPr>
      <w:color w:val="605E5C"/>
      <w:shd w:val="clear" w:color="auto" w:fill="E1DFDD"/>
    </w:rPr>
  </w:style>
  <w:style w:type="paragraph" w:styleId="af1">
    <w:name w:val="Revision"/>
    <w:hidden/>
    <w:uiPriority w:val="99"/>
    <w:semiHidden/>
    <w:rsid w:val="006C3ED7"/>
    <w:pPr>
      <w:spacing w:after="0" w:line="240" w:lineRule="auto"/>
    </w:pPr>
    <w:rPr>
      <w:kern w:val="2"/>
      <w:sz w:val="21"/>
      <w:szCs w:val="22"/>
    </w:rPr>
  </w:style>
  <w:style w:type="table" w:styleId="af2">
    <w:name w:val="Table Grid"/>
    <w:basedOn w:val="a1"/>
    <w:uiPriority w:val="39"/>
    <w:rsid w:val="00F7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797B5C1-86EA-49FE-8EC7-72C6CC487D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155</Words>
  <Characters>887</Characters>
  <Application>Microsoft Office Word</Application>
  <DocSecurity>0</DocSecurity>
  <Lines>7</Lines>
  <Paragraphs>2</Paragraphs>
  <ScaleCrop>false</ScaleCrop>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 锐</dc:creator>
  <cp:lastModifiedBy>rui zhang</cp:lastModifiedBy>
  <cp:revision>2</cp:revision>
  <cp:lastPrinted>2024-02-27T06:57:00Z</cp:lastPrinted>
  <dcterms:created xsi:type="dcterms:W3CDTF">2024-04-11T01:13:00Z</dcterms:created>
  <dcterms:modified xsi:type="dcterms:W3CDTF">2024-04-11T01:13:00Z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